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F3" w:rsidRDefault="00F11AF3" w:rsidP="00F11AF3">
      <w:pPr>
        <w:tabs>
          <w:tab w:val="right" w:pos="0"/>
          <w:tab w:val="right" w:pos="9071"/>
        </w:tabs>
        <w:rPr>
          <w:rFonts w:ascii="Arial" w:hAnsi="Arial"/>
          <w:b/>
          <w:sz w:val="22"/>
        </w:rPr>
      </w:pPr>
      <w:bookmarkStart w:id="0" w:name="_GoBack"/>
      <w:bookmarkEnd w:id="0"/>
      <w:r>
        <w:rPr>
          <w:rFonts w:ascii="Arial" w:hAnsi="Arial"/>
          <w:b/>
          <w:sz w:val="22"/>
        </w:rPr>
        <w:t>Der Senator für Umwelt, Bau</w:t>
      </w:r>
      <w:r w:rsidR="007B4F31">
        <w:rPr>
          <w:rFonts w:ascii="Arial" w:hAnsi="Arial"/>
          <w:b/>
          <w:sz w:val="22"/>
        </w:rPr>
        <w:t xml:space="preserve"> und</w:t>
      </w:r>
      <w:r>
        <w:rPr>
          <w:rFonts w:ascii="Arial" w:hAnsi="Arial"/>
          <w:b/>
          <w:sz w:val="22"/>
        </w:rPr>
        <w:t xml:space="preserve"> Verkehr</w:t>
      </w:r>
      <w:r>
        <w:rPr>
          <w:rFonts w:ascii="Arial" w:hAnsi="Arial"/>
          <w:b/>
          <w:sz w:val="22"/>
        </w:rPr>
        <w:tab/>
        <w:t xml:space="preserve">Bremen, den </w:t>
      </w:r>
      <w:r>
        <w:rPr>
          <w:rFonts w:ascii="Arial" w:hAnsi="Arial"/>
          <w:b/>
          <w:sz w:val="22"/>
        </w:rPr>
        <w:fldChar w:fldCharType="begin"/>
      </w:r>
      <w:r>
        <w:rPr>
          <w:rFonts w:ascii="Arial" w:hAnsi="Arial"/>
          <w:b/>
          <w:sz w:val="22"/>
        </w:rPr>
        <w:instrText xml:space="preserve"> DATE \@ "dd.MM.yyyy" </w:instrText>
      </w:r>
      <w:r>
        <w:rPr>
          <w:rFonts w:ascii="Arial" w:hAnsi="Arial"/>
          <w:b/>
          <w:sz w:val="22"/>
        </w:rPr>
        <w:fldChar w:fldCharType="separate"/>
      </w:r>
      <w:r w:rsidR="00896CCA">
        <w:rPr>
          <w:rFonts w:ascii="Arial" w:hAnsi="Arial"/>
          <w:b/>
          <w:noProof/>
          <w:sz w:val="22"/>
        </w:rPr>
        <w:t>17.11.2014</w:t>
      </w:r>
      <w:r>
        <w:rPr>
          <w:rFonts w:ascii="Arial" w:hAnsi="Arial"/>
          <w:b/>
          <w:sz w:val="22"/>
        </w:rPr>
        <w:fldChar w:fldCharType="end"/>
      </w:r>
    </w:p>
    <w:p w:rsidR="00F11AF3" w:rsidRDefault="00F11AF3" w:rsidP="00F11AF3">
      <w:pPr>
        <w:tabs>
          <w:tab w:val="right" w:pos="0"/>
        </w:tabs>
        <w:rPr>
          <w:rFonts w:ascii="Arial" w:hAnsi="Arial"/>
          <w:sz w:val="22"/>
        </w:rPr>
      </w:pPr>
    </w:p>
    <w:p w:rsidR="009B5CE0" w:rsidRDefault="009B5CE0" w:rsidP="00F11AF3">
      <w:pPr>
        <w:tabs>
          <w:tab w:val="right" w:pos="0"/>
        </w:tabs>
        <w:rPr>
          <w:rFonts w:ascii="Arial" w:hAnsi="Arial"/>
          <w:sz w:val="22"/>
        </w:rPr>
      </w:pPr>
    </w:p>
    <w:p w:rsidR="0057661A" w:rsidRDefault="009B5CE0">
      <w:pPr>
        <w:pBdr>
          <w:top w:val="single" w:sz="6" w:space="1" w:color="auto"/>
          <w:left w:val="single" w:sz="6" w:space="1" w:color="auto"/>
          <w:bottom w:val="single" w:sz="6" w:space="1" w:color="auto"/>
          <w:right w:val="single" w:sz="6" w:space="1" w:color="auto"/>
        </w:pBdr>
        <w:shd w:val="pct5" w:color="auto" w:fill="auto"/>
        <w:rPr>
          <w:rFonts w:ascii="Arial" w:hAnsi="Arial"/>
          <w:b/>
          <w:sz w:val="28"/>
        </w:rPr>
      </w:pPr>
      <w:r>
        <w:rPr>
          <w:rFonts w:ascii="Arial" w:hAnsi="Arial"/>
          <w:b/>
          <w:sz w:val="28"/>
        </w:rPr>
        <w:t>Biotopwertliste 2014 - Erläuterung</w:t>
      </w:r>
    </w:p>
    <w:p w:rsidR="0057661A" w:rsidRDefault="0057661A">
      <w:pPr>
        <w:pStyle w:val="Kopfzeile"/>
        <w:tabs>
          <w:tab w:val="clear" w:pos="4536"/>
          <w:tab w:val="clear" w:pos="9072"/>
        </w:tabs>
        <w:rPr>
          <w:rFonts w:ascii="Arial" w:hAnsi="Arial"/>
          <w:sz w:val="22"/>
        </w:rPr>
      </w:pPr>
    </w:p>
    <w:p w:rsidR="009B5CE0" w:rsidRPr="009B5CE0" w:rsidRDefault="009B5CE0" w:rsidP="009B5CE0">
      <w:pPr>
        <w:spacing w:after="120"/>
        <w:rPr>
          <w:rFonts w:ascii="Arial" w:hAnsi="Arial"/>
          <w:sz w:val="22"/>
        </w:rPr>
      </w:pPr>
      <w:r w:rsidRPr="009B5CE0">
        <w:rPr>
          <w:rFonts w:ascii="Arial" w:hAnsi="Arial"/>
          <w:sz w:val="22"/>
        </w:rPr>
        <w:t xml:space="preserve">Je </w:t>
      </w:r>
      <w:r w:rsidRPr="009B5CE0">
        <w:rPr>
          <w:rFonts w:ascii="Arial" w:hAnsi="Arial"/>
          <w:sz w:val="22"/>
          <w:u w:val="single"/>
        </w:rPr>
        <w:t>Zeile</w:t>
      </w:r>
      <w:r w:rsidRPr="009B5CE0">
        <w:rPr>
          <w:rFonts w:ascii="Arial" w:hAnsi="Arial"/>
          <w:sz w:val="22"/>
        </w:rPr>
        <w:t xml:space="preserve"> ist ein Biotoptyp entsprechend dem „Kartierschlüssel für Biotope in Bremen 2013“ eingetragen. Die Biotoptypen gliedern sich gemäß Kartierschlüssel 2013 in </w:t>
      </w:r>
    </w:p>
    <w:p w:rsidR="00C21702" w:rsidRPr="00C21702" w:rsidRDefault="00C21702" w:rsidP="00C21702">
      <w:pPr>
        <w:numPr>
          <w:ilvl w:val="0"/>
          <w:numId w:val="6"/>
        </w:numPr>
        <w:rPr>
          <w:rFonts w:ascii="Arial" w:hAnsi="Arial"/>
          <w:sz w:val="22"/>
        </w:rPr>
      </w:pPr>
      <w:proofErr w:type="spellStart"/>
      <w:r w:rsidRPr="00C21702">
        <w:rPr>
          <w:rFonts w:ascii="Arial" w:hAnsi="Arial"/>
          <w:sz w:val="22"/>
        </w:rPr>
        <w:t>unbewertete</w:t>
      </w:r>
      <w:proofErr w:type="spellEnd"/>
      <w:r w:rsidRPr="00C21702">
        <w:rPr>
          <w:rFonts w:ascii="Arial" w:hAnsi="Arial"/>
          <w:sz w:val="22"/>
        </w:rPr>
        <w:t xml:space="preserve"> Obergruppen (z. B. 1. Wälder) und </w:t>
      </w:r>
      <w:proofErr w:type="spellStart"/>
      <w:r w:rsidRPr="00C21702">
        <w:rPr>
          <w:rFonts w:ascii="Arial" w:hAnsi="Arial"/>
          <w:sz w:val="22"/>
        </w:rPr>
        <w:t>unbewertete</w:t>
      </w:r>
      <w:proofErr w:type="spellEnd"/>
      <w:r w:rsidRPr="00C21702">
        <w:rPr>
          <w:rFonts w:ascii="Arial" w:hAnsi="Arial"/>
          <w:sz w:val="22"/>
        </w:rPr>
        <w:t xml:space="preserve"> Haupteinheiten (z. B. Nr. 1.3 </w:t>
      </w:r>
      <w:proofErr w:type="spellStart"/>
      <w:r w:rsidRPr="00C21702">
        <w:rPr>
          <w:rFonts w:ascii="Arial" w:hAnsi="Arial"/>
          <w:sz w:val="22"/>
        </w:rPr>
        <w:t>Mesophiler</w:t>
      </w:r>
      <w:proofErr w:type="spellEnd"/>
      <w:r w:rsidRPr="00C21702">
        <w:rPr>
          <w:rFonts w:ascii="Arial" w:hAnsi="Arial"/>
          <w:sz w:val="22"/>
        </w:rPr>
        <w:t xml:space="preserve"> Buchenwald, Biotoptypen-Code WM),</w:t>
      </w:r>
    </w:p>
    <w:p w:rsidR="009B5CE0" w:rsidRPr="009B5CE0" w:rsidRDefault="009B5CE0" w:rsidP="009B5CE0">
      <w:pPr>
        <w:numPr>
          <w:ilvl w:val="0"/>
          <w:numId w:val="6"/>
        </w:numPr>
        <w:rPr>
          <w:rFonts w:ascii="Arial" w:hAnsi="Arial"/>
          <w:sz w:val="22"/>
        </w:rPr>
      </w:pPr>
      <w:r w:rsidRPr="009B5CE0">
        <w:rPr>
          <w:rFonts w:ascii="Arial" w:hAnsi="Arial"/>
          <w:sz w:val="22"/>
        </w:rPr>
        <w:t xml:space="preserve">bewertete Untereinheiten (z. B. Nr. 1.3.3 </w:t>
      </w:r>
      <w:proofErr w:type="spellStart"/>
      <w:r w:rsidRPr="009B5CE0">
        <w:rPr>
          <w:rFonts w:ascii="Arial" w:hAnsi="Arial"/>
          <w:sz w:val="22"/>
        </w:rPr>
        <w:t>Mesophiler</w:t>
      </w:r>
      <w:proofErr w:type="spellEnd"/>
      <w:r w:rsidRPr="009B5CE0">
        <w:rPr>
          <w:rFonts w:ascii="Arial" w:hAnsi="Arial"/>
          <w:sz w:val="22"/>
        </w:rPr>
        <w:t xml:space="preserve"> Buchenwald kalkärmerer Standorte des Tieflandes, Biotoptypen-Code WMT)</w:t>
      </w:r>
      <w:r w:rsidR="00C21702">
        <w:rPr>
          <w:rFonts w:ascii="Arial" w:hAnsi="Arial"/>
          <w:sz w:val="22"/>
        </w:rPr>
        <w:t xml:space="preserve"> und</w:t>
      </w:r>
    </w:p>
    <w:p w:rsidR="009B5CE0" w:rsidRPr="009B5CE0" w:rsidRDefault="009B5CE0" w:rsidP="009B5CE0">
      <w:pPr>
        <w:numPr>
          <w:ilvl w:val="0"/>
          <w:numId w:val="6"/>
        </w:numPr>
        <w:rPr>
          <w:rFonts w:ascii="Arial" w:hAnsi="Arial"/>
          <w:sz w:val="22"/>
        </w:rPr>
      </w:pPr>
      <w:r w:rsidRPr="009B5CE0">
        <w:rPr>
          <w:rFonts w:ascii="Arial" w:hAnsi="Arial"/>
          <w:sz w:val="22"/>
        </w:rPr>
        <w:t>bewertete Untertypen bei einigen Untereinheiten (z.B. Nr. 3.3.5.1 Watt-</w:t>
      </w:r>
      <w:proofErr w:type="spellStart"/>
      <w:r w:rsidRPr="009B5CE0">
        <w:rPr>
          <w:rFonts w:ascii="Arial" w:hAnsi="Arial"/>
          <w:sz w:val="22"/>
        </w:rPr>
        <w:t>Quellerflur</w:t>
      </w:r>
      <w:proofErr w:type="spellEnd"/>
      <w:r w:rsidRPr="009B5CE0">
        <w:rPr>
          <w:rFonts w:ascii="Arial" w:hAnsi="Arial"/>
          <w:sz w:val="22"/>
        </w:rPr>
        <w:t>, Biotoptypen-Code KWQW).</w:t>
      </w:r>
    </w:p>
    <w:p w:rsidR="009B5CE0" w:rsidRPr="009B5CE0" w:rsidRDefault="009B5CE0" w:rsidP="009B5CE0">
      <w:pPr>
        <w:rPr>
          <w:rFonts w:ascii="Arial" w:hAnsi="Arial"/>
          <w:sz w:val="22"/>
        </w:rPr>
      </w:pPr>
    </w:p>
    <w:p w:rsidR="009B5CE0" w:rsidRPr="009B5CE0" w:rsidRDefault="009B5CE0" w:rsidP="009B5CE0">
      <w:pPr>
        <w:rPr>
          <w:rFonts w:ascii="Arial" w:hAnsi="Arial"/>
          <w:sz w:val="22"/>
        </w:rPr>
      </w:pPr>
      <w:r w:rsidRPr="009B5CE0">
        <w:rPr>
          <w:rFonts w:ascii="Arial" w:hAnsi="Arial"/>
          <w:sz w:val="22"/>
          <w:u w:val="single"/>
        </w:rPr>
        <w:t>Spalte 1</w:t>
      </w:r>
      <w:r w:rsidRPr="009B5CE0">
        <w:rPr>
          <w:rFonts w:ascii="Arial" w:hAnsi="Arial"/>
          <w:sz w:val="22"/>
        </w:rPr>
        <w:t xml:space="preserve"> enthält die Nummer des Biotoptyps analog dem Kartierschlüssel 2013. Aufgrund der fortlaufenden Sortierung der Tabelle kann die Biotopwertliste leicht mit dem Kartierschlüssel und den dort enthaltenen Definitionen der Biotoptypen verglichen werden, wobei z. B. die Biotoptyp-Nr. 01.03.03.00 der Biotopwertliste der Biotoptyp-Nr.1.3.3 des </w:t>
      </w:r>
      <w:proofErr w:type="spellStart"/>
      <w:r w:rsidRPr="009B5CE0">
        <w:rPr>
          <w:rFonts w:ascii="Arial" w:hAnsi="Arial"/>
          <w:sz w:val="22"/>
        </w:rPr>
        <w:t>Kartierschlüssels</w:t>
      </w:r>
      <w:proofErr w:type="spellEnd"/>
      <w:r w:rsidRPr="009B5CE0">
        <w:rPr>
          <w:rFonts w:ascii="Arial" w:hAnsi="Arial"/>
          <w:sz w:val="22"/>
        </w:rPr>
        <w:t xml:space="preserve"> entspricht. </w:t>
      </w:r>
    </w:p>
    <w:p w:rsidR="009B5CE0" w:rsidRPr="009B5CE0" w:rsidRDefault="009B5CE0" w:rsidP="009B5CE0">
      <w:pPr>
        <w:rPr>
          <w:rFonts w:ascii="Arial" w:hAnsi="Arial"/>
          <w:sz w:val="22"/>
        </w:rPr>
      </w:pPr>
      <w:r w:rsidRPr="009B5CE0">
        <w:rPr>
          <w:rFonts w:ascii="Arial" w:hAnsi="Arial"/>
          <w:sz w:val="22"/>
        </w:rPr>
        <w:t xml:space="preserve">Da die Biotoptypen-Nummerierung des niedersächsischen </w:t>
      </w:r>
      <w:proofErr w:type="spellStart"/>
      <w:r w:rsidRPr="009B5CE0">
        <w:rPr>
          <w:rFonts w:ascii="Arial" w:hAnsi="Arial"/>
          <w:sz w:val="22"/>
        </w:rPr>
        <w:t>Kartierschlüssels</w:t>
      </w:r>
      <w:proofErr w:type="spellEnd"/>
      <w:r w:rsidRPr="009B5CE0">
        <w:rPr>
          <w:rFonts w:ascii="Arial" w:hAnsi="Arial"/>
          <w:sz w:val="22"/>
        </w:rPr>
        <w:t xml:space="preserve"> zugrunde gelegt wurde, fehlen die Biotoptypennummern, die nur in Niedersachsen, nicht aber in Bremen vorkommen (Hinweis: </w:t>
      </w:r>
      <w:r w:rsidRPr="00C21702">
        <w:rPr>
          <w:rFonts w:ascii="Arial" w:hAnsi="Arial"/>
          <w:i/>
          <w:sz w:val="22"/>
        </w:rPr>
        <w:t>Diese wurden im bremischen Kartierschlüssel 2013 kursiv gestellt</w:t>
      </w:r>
      <w:r w:rsidRPr="009B5CE0">
        <w:rPr>
          <w:rFonts w:ascii="Arial" w:hAnsi="Arial"/>
          <w:sz w:val="22"/>
        </w:rPr>
        <w:t>).</w:t>
      </w:r>
    </w:p>
    <w:p w:rsidR="009B5CE0" w:rsidRPr="009B5CE0" w:rsidRDefault="009B5CE0" w:rsidP="009B5CE0">
      <w:pPr>
        <w:rPr>
          <w:rFonts w:ascii="Arial" w:hAnsi="Arial"/>
          <w:sz w:val="22"/>
        </w:rPr>
      </w:pPr>
    </w:p>
    <w:p w:rsidR="009B5CE0" w:rsidRPr="009B5CE0" w:rsidRDefault="009B5CE0" w:rsidP="009B5CE0">
      <w:pPr>
        <w:rPr>
          <w:rFonts w:ascii="Arial" w:hAnsi="Arial"/>
          <w:sz w:val="22"/>
        </w:rPr>
      </w:pPr>
      <w:r w:rsidRPr="009B5CE0">
        <w:rPr>
          <w:rFonts w:ascii="Arial" w:hAnsi="Arial"/>
          <w:sz w:val="22"/>
          <w:u w:val="single"/>
        </w:rPr>
        <w:t>Spalte 2</w:t>
      </w:r>
      <w:r w:rsidRPr="009B5CE0">
        <w:rPr>
          <w:rFonts w:ascii="Arial" w:hAnsi="Arial"/>
          <w:sz w:val="22"/>
        </w:rPr>
        <w:t xml:space="preserve"> enthält den Biotoptypen-Code und </w:t>
      </w:r>
      <w:r w:rsidRPr="009B5CE0">
        <w:rPr>
          <w:rFonts w:ascii="Arial" w:hAnsi="Arial"/>
          <w:sz w:val="22"/>
          <w:u w:val="single"/>
        </w:rPr>
        <w:t>Spalte 3</w:t>
      </w:r>
      <w:r w:rsidRPr="009B5CE0">
        <w:rPr>
          <w:rFonts w:ascii="Arial" w:hAnsi="Arial"/>
          <w:sz w:val="22"/>
        </w:rPr>
        <w:t xml:space="preserve"> die Biotoptypen-Bezeichnung gemäß Kartierschlüssel 2013.</w:t>
      </w:r>
    </w:p>
    <w:p w:rsidR="009B5CE0" w:rsidRPr="009B5CE0" w:rsidRDefault="009B5CE0" w:rsidP="009B5CE0">
      <w:pPr>
        <w:rPr>
          <w:rFonts w:ascii="Arial" w:hAnsi="Arial"/>
          <w:sz w:val="22"/>
        </w:rPr>
      </w:pPr>
    </w:p>
    <w:p w:rsidR="009B5CE0" w:rsidRPr="009B5CE0" w:rsidRDefault="009B5CE0" w:rsidP="009B5CE0">
      <w:pPr>
        <w:ind w:left="709"/>
        <w:rPr>
          <w:rFonts w:ascii="Arial" w:hAnsi="Arial"/>
          <w:sz w:val="22"/>
        </w:rPr>
      </w:pPr>
      <w:r w:rsidRPr="009B5CE0">
        <w:rPr>
          <w:rFonts w:ascii="Arial" w:hAnsi="Arial"/>
          <w:sz w:val="22"/>
        </w:rPr>
        <w:t xml:space="preserve">Ausnahme: Der Biotoptyp Nährstoffreicher Graben (01.13.03.00, FGR) wird aufgrund seiner </w:t>
      </w:r>
      <w:r w:rsidR="00C21702" w:rsidRPr="00C21702">
        <w:rPr>
          <w:rFonts w:ascii="Arial" w:hAnsi="Arial"/>
          <w:sz w:val="22"/>
        </w:rPr>
        <w:t xml:space="preserve">besonderen </w:t>
      </w:r>
      <w:r w:rsidRPr="009B5CE0">
        <w:rPr>
          <w:rFonts w:ascii="Arial" w:hAnsi="Arial"/>
          <w:sz w:val="22"/>
        </w:rPr>
        <w:t>ökologische Bedeutung für Bremen weiterhin gemäß der „Arbeitsgrundlagen für die Erfassung und Bewertung von Grabenlebensräumen im Land Bremen“ (Der Senator für Bau und Umwelt 2002) in Untertypen differenziert und bewertet.</w:t>
      </w:r>
    </w:p>
    <w:p w:rsidR="009B5CE0" w:rsidRPr="009B5CE0" w:rsidRDefault="009B5CE0" w:rsidP="009B5CE0">
      <w:pPr>
        <w:rPr>
          <w:rFonts w:ascii="Arial" w:hAnsi="Arial"/>
          <w:sz w:val="22"/>
        </w:rPr>
      </w:pPr>
    </w:p>
    <w:p w:rsidR="009B5CE0" w:rsidRPr="009B5CE0" w:rsidRDefault="009B5CE0" w:rsidP="009B5CE0">
      <w:pPr>
        <w:rPr>
          <w:rFonts w:ascii="Arial" w:hAnsi="Arial"/>
          <w:sz w:val="22"/>
        </w:rPr>
      </w:pPr>
      <w:r w:rsidRPr="009B5CE0">
        <w:rPr>
          <w:rFonts w:ascii="Arial" w:hAnsi="Arial"/>
          <w:sz w:val="22"/>
          <w:u w:val="single"/>
        </w:rPr>
        <w:t>Spalte 4</w:t>
      </w:r>
      <w:r w:rsidRPr="009B5CE0">
        <w:rPr>
          <w:rFonts w:ascii="Arial" w:hAnsi="Arial"/>
          <w:sz w:val="22"/>
        </w:rPr>
        <w:t xml:space="preserve"> macht Angaben zum Schutzstatus des Biotoptyps, die ebenfalls denen des Kartierschlüssel 2013 (S. 24) entsprechen: </w:t>
      </w:r>
    </w:p>
    <w:p w:rsidR="009B5CE0" w:rsidRPr="009B5CE0" w:rsidRDefault="009B5CE0" w:rsidP="009B5CE0">
      <w:pPr>
        <w:rPr>
          <w:rFonts w:ascii="Arial" w:hAnsi="Arial"/>
          <w:sz w:val="22"/>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662"/>
      </w:tblGrid>
      <w:tr w:rsidR="009B5CE0" w:rsidRPr="009B5CE0" w:rsidTr="00B36714">
        <w:trPr>
          <w:jc w:val="center"/>
        </w:trPr>
        <w:tc>
          <w:tcPr>
            <w:tcW w:w="8613" w:type="dxa"/>
            <w:gridSpan w:val="2"/>
          </w:tcPr>
          <w:p w:rsidR="009B5CE0" w:rsidRPr="009B5CE0" w:rsidRDefault="009B5CE0" w:rsidP="009B5CE0">
            <w:pPr>
              <w:rPr>
                <w:rFonts w:ascii="Arial" w:hAnsi="Arial"/>
                <w:sz w:val="22"/>
              </w:rPr>
            </w:pPr>
            <w:r w:rsidRPr="009B5CE0">
              <w:rPr>
                <w:rFonts w:ascii="Arial" w:hAnsi="Arial"/>
                <w:sz w:val="22"/>
              </w:rPr>
              <w:t>Die aufgrund von § 30 BNatSchG besonders geschützten Biotope sind durch ein §-Zeichen gekennzeichnet. Es bedeuten:</w:t>
            </w:r>
          </w:p>
        </w:tc>
      </w:tr>
      <w:tr w:rsidR="009B5CE0" w:rsidRPr="009B5CE0" w:rsidTr="00B36714">
        <w:trPr>
          <w:jc w:val="center"/>
        </w:trPr>
        <w:tc>
          <w:tcPr>
            <w:tcW w:w="1951" w:type="dxa"/>
          </w:tcPr>
          <w:p w:rsidR="009B5CE0" w:rsidRPr="009B5CE0" w:rsidRDefault="009B5CE0" w:rsidP="009B5CE0">
            <w:pPr>
              <w:jc w:val="center"/>
              <w:rPr>
                <w:rFonts w:ascii="Arial" w:hAnsi="Arial"/>
                <w:sz w:val="22"/>
              </w:rPr>
            </w:pPr>
            <w:r w:rsidRPr="009B5CE0">
              <w:rPr>
                <w:rFonts w:ascii="Arial" w:hAnsi="Arial"/>
                <w:sz w:val="22"/>
              </w:rPr>
              <w:t>§</w:t>
            </w:r>
          </w:p>
        </w:tc>
        <w:tc>
          <w:tcPr>
            <w:tcW w:w="6662" w:type="dxa"/>
          </w:tcPr>
          <w:p w:rsidR="009B5CE0" w:rsidRPr="009B5CE0" w:rsidRDefault="009B5CE0" w:rsidP="009B5CE0">
            <w:pPr>
              <w:rPr>
                <w:rFonts w:ascii="Arial" w:hAnsi="Arial"/>
                <w:sz w:val="22"/>
              </w:rPr>
            </w:pPr>
            <w:r w:rsidRPr="009B5CE0">
              <w:rPr>
                <w:rFonts w:ascii="Arial" w:hAnsi="Arial"/>
                <w:sz w:val="22"/>
              </w:rPr>
              <w:t>die gesamte Einheit ist geschützt</w:t>
            </w:r>
          </w:p>
        </w:tc>
      </w:tr>
      <w:tr w:rsidR="009B5CE0" w:rsidRPr="009B5CE0" w:rsidTr="00B36714">
        <w:trPr>
          <w:jc w:val="center"/>
        </w:trPr>
        <w:tc>
          <w:tcPr>
            <w:tcW w:w="1951" w:type="dxa"/>
          </w:tcPr>
          <w:p w:rsidR="009B5CE0" w:rsidRPr="009B5CE0" w:rsidRDefault="009B5CE0" w:rsidP="009B5CE0">
            <w:pPr>
              <w:jc w:val="center"/>
              <w:rPr>
                <w:rFonts w:ascii="Arial" w:hAnsi="Arial"/>
                <w:sz w:val="22"/>
              </w:rPr>
            </w:pPr>
            <w:r w:rsidRPr="009B5CE0">
              <w:rPr>
                <w:rFonts w:ascii="Arial" w:hAnsi="Arial"/>
                <w:sz w:val="22"/>
              </w:rPr>
              <w:t>(§)</w:t>
            </w:r>
          </w:p>
        </w:tc>
        <w:tc>
          <w:tcPr>
            <w:tcW w:w="6662" w:type="dxa"/>
          </w:tcPr>
          <w:p w:rsidR="009B5CE0" w:rsidRPr="009B5CE0" w:rsidRDefault="009B5CE0" w:rsidP="009B5CE0">
            <w:pPr>
              <w:rPr>
                <w:rFonts w:ascii="Arial" w:hAnsi="Arial"/>
                <w:sz w:val="22"/>
              </w:rPr>
            </w:pPr>
            <w:r w:rsidRPr="009B5CE0">
              <w:rPr>
                <w:rFonts w:ascii="Arial" w:hAnsi="Arial"/>
                <w:sz w:val="22"/>
              </w:rPr>
              <w:t>der Biotoptyp ist in bestimmten Ausprägungen geschützt, die unter »Besondere Hinweise« näher erläutert sind.</w:t>
            </w:r>
          </w:p>
        </w:tc>
      </w:tr>
      <w:tr w:rsidR="009B5CE0" w:rsidRPr="009B5CE0" w:rsidTr="00B36714">
        <w:trPr>
          <w:jc w:val="center"/>
        </w:trPr>
        <w:tc>
          <w:tcPr>
            <w:tcW w:w="8613" w:type="dxa"/>
            <w:gridSpan w:val="2"/>
          </w:tcPr>
          <w:p w:rsidR="009B5CE0" w:rsidRPr="009B5CE0" w:rsidRDefault="009B5CE0" w:rsidP="009B5CE0">
            <w:pPr>
              <w:ind w:left="34"/>
              <w:rPr>
                <w:rFonts w:ascii="Arial" w:hAnsi="Arial"/>
                <w:sz w:val="22"/>
              </w:rPr>
            </w:pPr>
            <w:r w:rsidRPr="009B5CE0">
              <w:rPr>
                <w:rFonts w:ascii="Arial" w:hAnsi="Arial"/>
                <w:sz w:val="22"/>
              </w:rPr>
              <w:t>Diese Zuordnungen gelten mit den in den Gesetzen aufgeführten Ausnahmen bezüglich Bebauungsplänen, vertraglicher Vereinbarungen und der Gewinnung von Bodenschätzen (§ 30 Abs. 4 bis 6 BNatSchG).</w:t>
            </w:r>
          </w:p>
        </w:tc>
      </w:tr>
      <w:tr w:rsidR="009B5CE0" w:rsidRPr="009B5CE0" w:rsidTr="00B36714">
        <w:trPr>
          <w:jc w:val="center"/>
        </w:trPr>
        <w:tc>
          <w:tcPr>
            <w:tcW w:w="1951" w:type="dxa"/>
          </w:tcPr>
          <w:p w:rsidR="009B5CE0" w:rsidRPr="009B5CE0" w:rsidRDefault="009B5CE0" w:rsidP="009B5CE0">
            <w:pPr>
              <w:jc w:val="center"/>
              <w:rPr>
                <w:rFonts w:ascii="Arial" w:hAnsi="Arial"/>
                <w:sz w:val="22"/>
              </w:rPr>
            </w:pPr>
          </w:p>
        </w:tc>
        <w:tc>
          <w:tcPr>
            <w:tcW w:w="6662" w:type="dxa"/>
          </w:tcPr>
          <w:p w:rsidR="009B5CE0" w:rsidRPr="009B5CE0" w:rsidRDefault="009B5CE0" w:rsidP="009B5CE0">
            <w:pPr>
              <w:rPr>
                <w:rFonts w:ascii="Arial" w:hAnsi="Arial"/>
                <w:sz w:val="22"/>
              </w:rPr>
            </w:pPr>
          </w:p>
        </w:tc>
      </w:tr>
      <w:tr w:rsidR="009B5CE0" w:rsidRPr="009B5CE0" w:rsidTr="00B36714">
        <w:trPr>
          <w:jc w:val="center"/>
        </w:trPr>
        <w:tc>
          <w:tcPr>
            <w:tcW w:w="1951" w:type="dxa"/>
          </w:tcPr>
          <w:p w:rsidR="009B5CE0" w:rsidRPr="009B5CE0" w:rsidRDefault="009B5CE0" w:rsidP="009B5CE0">
            <w:pPr>
              <w:jc w:val="center"/>
              <w:rPr>
                <w:rFonts w:ascii="Arial" w:hAnsi="Arial"/>
                <w:sz w:val="22"/>
              </w:rPr>
            </w:pPr>
            <w:r w:rsidRPr="009B5CE0">
              <w:rPr>
                <w:rFonts w:ascii="Arial" w:hAnsi="Arial"/>
                <w:sz w:val="22"/>
              </w:rPr>
              <w:t>(ö)</w:t>
            </w:r>
          </w:p>
        </w:tc>
        <w:tc>
          <w:tcPr>
            <w:tcW w:w="6662" w:type="dxa"/>
          </w:tcPr>
          <w:p w:rsidR="009B5CE0" w:rsidRPr="009B5CE0" w:rsidRDefault="009B5CE0" w:rsidP="009B5CE0">
            <w:pPr>
              <w:rPr>
                <w:rFonts w:ascii="Arial" w:hAnsi="Arial"/>
                <w:sz w:val="22"/>
              </w:rPr>
            </w:pPr>
            <w:r w:rsidRPr="009B5CE0">
              <w:rPr>
                <w:rFonts w:ascii="Arial" w:hAnsi="Arial"/>
                <w:sz w:val="22"/>
              </w:rPr>
              <w:t xml:space="preserve">„Ödland“ gemäß § 13 Abs. 1 </w:t>
            </w:r>
            <w:proofErr w:type="spellStart"/>
            <w:r w:rsidRPr="009B5CE0">
              <w:rPr>
                <w:rFonts w:ascii="Arial" w:hAnsi="Arial"/>
                <w:sz w:val="22"/>
              </w:rPr>
              <w:t>BremNatG</w:t>
            </w:r>
            <w:proofErr w:type="spellEnd"/>
          </w:p>
        </w:tc>
      </w:tr>
      <w:tr w:rsidR="009B5CE0" w:rsidRPr="009B5CE0" w:rsidTr="00B36714">
        <w:trPr>
          <w:jc w:val="center"/>
        </w:trPr>
        <w:tc>
          <w:tcPr>
            <w:tcW w:w="1951" w:type="dxa"/>
          </w:tcPr>
          <w:p w:rsidR="009B5CE0" w:rsidRPr="009B5CE0" w:rsidRDefault="009B5CE0" w:rsidP="009B5CE0">
            <w:pPr>
              <w:jc w:val="center"/>
              <w:rPr>
                <w:rFonts w:ascii="Arial" w:hAnsi="Arial"/>
                <w:sz w:val="22"/>
              </w:rPr>
            </w:pPr>
            <w:r w:rsidRPr="009B5CE0">
              <w:rPr>
                <w:rFonts w:ascii="Arial" w:hAnsi="Arial"/>
                <w:sz w:val="22"/>
              </w:rPr>
              <w:t>(n)</w:t>
            </w:r>
          </w:p>
        </w:tc>
        <w:tc>
          <w:tcPr>
            <w:tcW w:w="6662" w:type="dxa"/>
          </w:tcPr>
          <w:p w:rsidR="009B5CE0" w:rsidRPr="009B5CE0" w:rsidRDefault="009B5CE0" w:rsidP="009B5CE0">
            <w:pPr>
              <w:rPr>
                <w:rFonts w:ascii="Arial" w:hAnsi="Arial"/>
                <w:sz w:val="22"/>
              </w:rPr>
            </w:pPr>
            <w:r w:rsidRPr="009B5CE0">
              <w:rPr>
                <w:rFonts w:ascii="Arial" w:hAnsi="Arial"/>
                <w:sz w:val="22"/>
              </w:rPr>
              <w:t xml:space="preserve">„sonstige naturnahe Flächen“ gemäß § 13 Abs. 1 </w:t>
            </w:r>
            <w:proofErr w:type="spellStart"/>
            <w:r w:rsidRPr="009B5CE0">
              <w:rPr>
                <w:rFonts w:ascii="Arial" w:hAnsi="Arial"/>
                <w:sz w:val="22"/>
              </w:rPr>
              <w:t>BremNatG</w:t>
            </w:r>
            <w:proofErr w:type="spellEnd"/>
          </w:p>
        </w:tc>
      </w:tr>
      <w:tr w:rsidR="009B5CE0" w:rsidRPr="009B5CE0" w:rsidTr="00B36714">
        <w:trPr>
          <w:jc w:val="center"/>
        </w:trPr>
        <w:tc>
          <w:tcPr>
            <w:tcW w:w="1951" w:type="dxa"/>
          </w:tcPr>
          <w:p w:rsidR="009B5CE0" w:rsidRPr="009B5CE0" w:rsidRDefault="009B5CE0" w:rsidP="009B5CE0">
            <w:pPr>
              <w:jc w:val="center"/>
              <w:rPr>
                <w:rFonts w:ascii="Arial" w:hAnsi="Arial"/>
                <w:sz w:val="22"/>
              </w:rPr>
            </w:pPr>
          </w:p>
        </w:tc>
        <w:tc>
          <w:tcPr>
            <w:tcW w:w="6662" w:type="dxa"/>
          </w:tcPr>
          <w:p w:rsidR="009B5CE0" w:rsidRPr="009B5CE0" w:rsidRDefault="009B5CE0" w:rsidP="009B5CE0">
            <w:pPr>
              <w:rPr>
                <w:rFonts w:ascii="Arial" w:hAnsi="Arial"/>
                <w:sz w:val="22"/>
              </w:rPr>
            </w:pPr>
          </w:p>
        </w:tc>
      </w:tr>
      <w:tr w:rsidR="009B5CE0" w:rsidRPr="009B5CE0" w:rsidTr="00B36714">
        <w:trPr>
          <w:jc w:val="center"/>
        </w:trPr>
        <w:tc>
          <w:tcPr>
            <w:tcW w:w="1951" w:type="dxa"/>
          </w:tcPr>
          <w:p w:rsidR="009B5CE0" w:rsidRPr="009B5CE0" w:rsidRDefault="009B5CE0" w:rsidP="009B5CE0">
            <w:pPr>
              <w:jc w:val="center"/>
              <w:rPr>
                <w:rFonts w:ascii="Arial" w:hAnsi="Arial"/>
                <w:sz w:val="22"/>
              </w:rPr>
            </w:pPr>
            <w:r w:rsidRPr="009B5CE0">
              <w:rPr>
                <w:rFonts w:ascii="Arial" w:hAnsi="Arial"/>
                <w:sz w:val="22"/>
              </w:rPr>
              <w:t>FFH</w:t>
            </w:r>
          </w:p>
        </w:tc>
        <w:tc>
          <w:tcPr>
            <w:tcW w:w="6662" w:type="dxa"/>
          </w:tcPr>
          <w:p w:rsidR="009B5CE0" w:rsidRPr="009B5CE0" w:rsidRDefault="009B5CE0" w:rsidP="009B5CE0">
            <w:pPr>
              <w:rPr>
                <w:rFonts w:ascii="Arial" w:hAnsi="Arial"/>
                <w:sz w:val="22"/>
              </w:rPr>
            </w:pPr>
            <w:r w:rsidRPr="009B5CE0">
              <w:rPr>
                <w:rFonts w:ascii="Arial" w:hAnsi="Arial"/>
                <w:sz w:val="22"/>
              </w:rPr>
              <w:t xml:space="preserve">Biotoptypen, </w:t>
            </w:r>
            <w:proofErr w:type="gramStart"/>
            <w:r w:rsidRPr="009B5CE0">
              <w:rPr>
                <w:rFonts w:ascii="Arial" w:hAnsi="Arial"/>
                <w:sz w:val="22"/>
              </w:rPr>
              <w:t>die einem Lebensraumtyp</w:t>
            </w:r>
            <w:proofErr w:type="gramEnd"/>
            <w:r w:rsidRPr="009B5CE0">
              <w:rPr>
                <w:rFonts w:ascii="Arial" w:hAnsi="Arial"/>
                <w:sz w:val="22"/>
              </w:rPr>
              <w:t xml:space="preserve"> (LRT) von </w:t>
            </w:r>
            <w:proofErr w:type="spellStart"/>
            <w:r w:rsidRPr="009B5CE0">
              <w:rPr>
                <w:rFonts w:ascii="Arial" w:hAnsi="Arial"/>
                <w:sz w:val="22"/>
              </w:rPr>
              <w:t>Anh</w:t>
            </w:r>
            <w:proofErr w:type="spellEnd"/>
            <w:r w:rsidRPr="009B5CE0">
              <w:rPr>
                <w:rFonts w:ascii="Arial" w:hAnsi="Arial"/>
                <w:sz w:val="22"/>
              </w:rPr>
              <w:t xml:space="preserve">. I der FFH-Richtlinie entsprechen (* = prioritär). Sinngemäß wie bei den geschützten Biotoptypen bedeutet eine Einklammerung, dass nur bestimmte Ausprägungen dem LRT zuzuordnen sind. </w:t>
            </w:r>
          </w:p>
          <w:p w:rsidR="009B5CE0" w:rsidRPr="009B5CE0" w:rsidRDefault="009B5CE0" w:rsidP="009B5CE0">
            <w:pPr>
              <w:rPr>
                <w:rFonts w:ascii="Arial" w:hAnsi="Arial"/>
                <w:sz w:val="22"/>
              </w:rPr>
            </w:pPr>
          </w:p>
        </w:tc>
      </w:tr>
      <w:tr w:rsidR="009B5CE0" w:rsidRPr="009B5CE0" w:rsidTr="00B36714">
        <w:trPr>
          <w:jc w:val="center"/>
        </w:trPr>
        <w:tc>
          <w:tcPr>
            <w:tcW w:w="8613" w:type="dxa"/>
            <w:gridSpan w:val="2"/>
          </w:tcPr>
          <w:p w:rsidR="009B5CE0" w:rsidRPr="009B5CE0" w:rsidRDefault="009B5CE0" w:rsidP="009B5CE0">
            <w:pPr>
              <w:rPr>
                <w:rFonts w:ascii="Arial" w:hAnsi="Arial"/>
                <w:sz w:val="22"/>
              </w:rPr>
            </w:pPr>
            <w:r w:rsidRPr="009B5CE0">
              <w:rPr>
                <w:rFonts w:ascii="Arial" w:hAnsi="Arial"/>
                <w:sz w:val="22"/>
              </w:rPr>
              <w:t>Auf diese Zeichen zum Hinweis auf gesetzlichen Schutz bzw. LRT wird verzichtet, wenn die Zuordnung nur wenige Einzelfälle im Zusammenhang mit anderen Biotoptypen betrifft oder wenn es sich um unselbstständige Strukturelemente der betreffenden Biotoptypen bzw. LRT handelt (z.B. Einzelbäume).</w:t>
            </w:r>
          </w:p>
        </w:tc>
      </w:tr>
    </w:tbl>
    <w:p w:rsidR="009B5CE0" w:rsidRPr="009B5CE0" w:rsidRDefault="009B5CE0" w:rsidP="009B5CE0">
      <w:pPr>
        <w:rPr>
          <w:rFonts w:ascii="Arial" w:hAnsi="Arial"/>
          <w:sz w:val="22"/>
        </w:rPr>
      </w:pPr>
    </w:p>
    <w:p w:rsidR="009B5CE0" w:rsidRPr="009B5CE0" w:rsidRDefault="009B5CE0" w:rsidP="009B5CE0">
      <w:pPr>
        <w:rPr>
          <w:rFonts w:ascii="Arial" w:hAnsi="Arial"/>
          <w:sz w:val="22"/>
        </w:rPr>
      </w:pPr>
    </w:p>
    <w:p w:rsidR="009B5CE0" w:rsidRPr="009B5CE0" w:rsidRDefault="009B5CE0" w:rsidP="009B5CE0">
      <w:pPr>
        <w:rPr>
          <w:rFonts w:ascii="Arial" w:hAnsi="Arial"/>
          <w:sz w:val="22"/>
        </w:rPr>
      </w:pPr>
      <w:r w:rsidRPr="009B5CE0">
        <w:rPr>
          <w:rFonts w:ascii="Arial" w:hAnsi="Arial"/>
          <w:sz w:val="22"/>
          <w:u w:val="single"/>
        </w:rPr>
        <w:t>Spalte 5</w:t>
      </w:r>
      <w:r w:rsidRPr="009B5CE0">
        <w:rPr>
          <w:rFonts w:ascii="Arial" w:hAnsi="Arial"/>
          <w:sz w:val="22"/>
        </w:rPr>
        <w:t xml:space="preserve"> gibt die Wertstufe an. Die Skala der Wertstufen hat sich gegenüber der Biotopwertliste </w:t>
      </w:r>
      <w:r w:rsidR="00C21702" w:rsidRPr="00C21702">
        <w:rPr>
          <w:rFonts w:ascii="Arial" w:hAnsi="Arial"/>
          <w:sz w:val="22"/>
        </w:rPr>
        <w:t xml:space="preserve">in der Fortschreibung der Handlungsanleitung </w:t>
      </w:r>
      <w:r w:rsidRPr="009B5CE0">
        <w:rPr>
          <w:rFonts w:ascii="Arial" w:hAnsi="Arial"/>
          <w:sz w:val="22"/>
        </w:rPr>
        <w:t>von 2006 nicht verändert. Die in der Biotopwertliste vorgenommene Bewertung erfolgt auf sechs Stufen anhand folgender Kriterien, bei denen die Begriffe „Ökosystem“ und „Biotoptyp“ synonym verwendet werden:</w:t>
      </w:r>
    </w:p>
    <w:p w:rsidR="009B5CE0" w:rsidRPr="009B5CE0" w:rsidRDefault="009B5CE0" w:rsidP="009B5CE0">
      <w:pPr>
        <w:rPr>
          <w:rFonts w:ascii="Arial" w:hAnsi="Arial"/>
          <w:sz w:val="22"/>
        </w:rPr>
      </w:pPr>
    </w:p>
    <w:p w:rsidR="009B5CE0" w:rsidRPr="009B5CE0" w:rsidRDefault="009B5CE0" w:rsidP="009B5CE0">
      <w:pPr>
        <w:rPr>
          <w:rFonts w:ascii="Arial" w:hAnsi="Arial"/>
          <w:sz w:val="22"/>
        </w:rPr>
      </w:pPr>
    </w:p>
    <w:tbl>
      <w:tblPr>
        <w:tblW w:w="9307" w:type="dxa"/>
        <w:tblBorders>
          <w:insideH w:val="single" w:sz="24" w:space="0" w:color="FFFFFF"/>
          <w:insideV w:val="single" w:sz="24" w:space="0" w:color="FFFFFF"/>
        </w:tblBorders>
        <w:shd w:val="clear" w:color="auto" w:fill="E0E0E0"/>
        <w:tblLayout w:type="fixed"/>
        <w:tblCellMar>
          <w:top w:w="68" w:type="dxa"/>
          <w:left w:w="71" w:type="dxa"/>
          <w:right w:w="71" w:type="dxa"/>
        </w:tblCellMar>
        <w:tblLook w:val="0000" w:firstRow="0" w:lastRow="0" w:firstColumn="0" w:lastColumn="0" w:noHBand="0" w:noVBand="0"/>
      </w:tblPr>
      <w:tblGrid>
        <w:gridCol w:w="567"/>
        <w:gridCol w:w="2623"/>
        <w:gridCol w:w="6117"/>
      </w:tblGrid>
      <w:tr w:rsidR="009B5CE0" w:rsidRPr="009B5CE0" w:rsidTr="00B36714">
        <w:tc>
          <w:tcPr>
            <w:tcW w:w="3190" w:type="dxa"/>
            <w:gridSpan w:val="2"/>
            <w:tcBorders>
              <w:top w:val="nil"/>
              <w:bottom w:val="single" w:sz="24" w:space="0" w:color="FFFFFF"/>
            </w:tcBorders>
            <w:shd w:val="clear" w:color="auto" w:fill="C0C0C0"/>
          </w:tcPr>
          <w:p w:rsidR="009B5CE0" w:rsidRPr="009B5CE0" w:rsidRDefault="009B5CE0" w:rsidP="009B5CE0">
            <w:pPr>
              <w:keepNext/>
              <w:numPr>
                <w:ilvl w:val="12"/>
                <w:numId w:val="0"/>
              </w:numPr>
              <w:spacing w:after="60" w:line="264" w:lineRule="auto"/>
              <w:jc w:val="center"/>
              <w:rPr>
                <w:rFonts w:ascii="Arial" w:hAnsi="Arial"/>
                <w:b/>
                <w:sz w:val="22"/>
              </w:rPr>
            </w:pPr>
            <w:r w:rsidRPr="009B5CE0">
              <w:rPr>
                <w:rFonts w:ascii="Arial" w:hAnsi="Arial"/>
                <w:b/>
                <w:sz w:val="22"/>
              </w:rPr>
              <w:t>Wertstufe (W)</w:t>
            </w:r>
          </w:p>
        </w:tc>
        <w:tc>
          <w:tcPr>
            <w:tcW w:w="6117" w:type="dxa"/>
            <w:tcBorders>
              <w:top w:val="nil"/>
              <w:bottom w:val="single" w:sz="24" w:space="0" w:color="FFFFFF"/>
            </w:tcBorders>
            <w:shd w:val="clear" w:color="auto" w:fill="C0C0C0"/>
          </w:tcPr>
          <w:p w:rsidR="009B5CE0" w:rsidRPr="009B5CE0" w:rsidRDefault="009B5CE0" w:rsidP="009B5CE0">
            <w:pPr>
              <w:keepNext/>
              <w:numPr>
                <w:ilvl w:val="12"/>
                <w:numId w:val="0"/>
              </w:numPr>
              <w:spacing w:after="60" w:line="264" w:lineRule="auto"/>
              <w:jc w:val="center"/>
              <w:rPr>
                <w:rFonts w:ascii="Arial" w:hAnsi="Arial"/>
                <w:b/>
                <w:sz w:val="22"/>
              </w:rPr>
            </w:pPr>
            <w:r w:rsidRPr="009B5CE0">
              <w:rPr>
                <w:rFonts w:ascii="Arial" w:hAnsi="Arial"/>
                <w:b/>
                <w:sz w:val="22"/>
              </w:rPr>
              <w:t>Definition der Skalenabschnitte</w:t>
            </w:r>
          </w:p>
        </w:tc>
      </w:tr>
      <w:tr w:rsidR="009B5CE0" w:rsidRPr="009B5CE0" w:rsidTr="00B36714">
        <w:tc>
          <w:tcPr>
            <w:tcW w:w="567" w:type="dxa"/>
            <w:tcBorders>
              <w:top w:val="single" w:sz="24" w:space="0" w:color="FFFFFF"/>
              <w:bottom w:val="single" w:sz="24" w:space="0" w:color="FFFFFF"/>
            </w:tcBorders>
            <w:shd w:val="clear" w:color="auto" w:fill="C0C0C0"/>
            <w:vAlign w:val="center"/>
          </w:tcPr>
          <w:p w:rsidR="009B5CE0" w:rsidRPr="009B5CE0" w:rsidRDefault="009B5CE0" w:rsidP="009B5CE0">
            <w:pPr>
              <w:keepNext/>
              <w:spacing w:before="20" w:after="20" w:line="264" w:lineRule="auto"/>
              <w:jc w:val="center"/>
              <w:rPr>
                <w:rFonts w:ascii="Arial" w:hAnsi="Arial"/>
                <w:b/>
                <w:bCs/>
                <w:snapToGrid w:val="0"/>
                <w:color w:val="000000"/>
              </w:rPr>
            </w:pPr>
            <w:r w:rsidRPr="009B5CE0">
              <w:rPr>
                <w:rFonts w:ascii="Arial" w:hAnsi="Arial"/>
                <w:b/>
                <w:bCs/>
                <w:snapToGrid w:val="0"/>
                <w:color w:val="000000"/>
              </w:rPr>
              <w:t>5</w:t>
            </w:r>
          </w:p>
        </w:tc>
        <w:tc>
          <w:tcPr>
            <w:tcW w:w="2623" w:type="dxa"/>
            <w:tcBorders>
              <w:top w:val="single" w:sz="24" w:space="0" w:color="FFFFFF"/>
            </w:tcBorders>
            <w:shd w:val="clear" w:color="auto" w:fill="E0E0E0"/>
            <w:vAlign w:val="center"/>
          </w:tcPr>
          <w:p w:rsidR="009B5CE0" w:rsidRPr="009B5CE0" w:rsidRDefault="009B5CE0" w:rsidP="009B5CE0">
            <w:pPr>
              <w:keepNext/>
              <w:spacing w:before="20" w:after="20" w:line="264" w:lineRule="auto"/>
              <w:rPr>
                <w:rFonts w:ascii="Arial" w:hAnsi="Arial"/>
                <w:snapToGrid w:val="0"/>
                <w:color w:val="000000"/>
              </w:rPr>
            </w:pPr>
            <w:r w:rsidRPr="009B5CE0">
              <w:rPr>
                <w:rFonts w:ascii="Arial" w:hAnsi="Arial"/>
                <w:snapToGrid w:val="0"/>
                <w:color w:val="000000"/>
              </w:rPr>
              <w:t xml:space="preserve">von sehr hohem Wert </w:t>
            </w:r>
          </w:p>
        </w:tc>
        <w:tc>
          <w:tcPr>
            <w:tcW w:w="6117" w:type="dxa"/>
            <w:tcBorders>
              <w:top w:val="single" w:sz="24" w:space="0" w:color="FFFFFF"/>
            </w:tcBorders>
            <w:shd w:val="clear" w:color="auto" w:fill="E0E0E0"/>
          </w:tcPr>
          <w:p w:rsidR="009B5CE0" w:rsidRPr="009B5CE0" w:rsidRDefault="009B5CE0" w:rsidP="009B5CE0">
            <w:pPr>
              <w:keepNext/>
              <w:spacing w:before="20" w:after="20" w:line="264" w:lineRule="auto"/>
              <w:rPr>
                <w:rFonts w:ascii="Arial" w:hAnsi="Arial"/>
                <w:snapToGrid w:val="0"/>
                <w:color w:val="000000"/>
              </w:rPr>
            </w:pPr>
            <w:proofErr w:type="gramStart"/>
            <w:r w:rsidRPr="009B5CE0">
              <w:rPr>
                <w:rFonts w:ascii="Arial" w:hAnsi="Arial"/>
                <w:snapToGrid w:val="0"/>
                <w:color w:val="000000"/>
              </w:rPr>
              <w:t>Seltene und repräsentative naturnahe, extensiv oder ungenutzte</w:t>
            </w:r>
            <w:proofErr w:type="gramEnd"/>
            <w:r w:rsidRPr="009B5CE0">
              <w:rPr>
                <w:rFonts w:ascii="Arial" w:hAnsi="Arial"/>
                <w:snapToGrid w:val="0"/>
                <w:color w:val="000000"/>
              </w:rPr>
              <w:t xml:space="preserve"> Ökosysteme mit i. d. R. extremen Standorteigenschaften und einem hohen Anteil standortspezifischer Arten. Im Regelfall handelt es sich um alte Ökosysteme wie Wälder, Moore, Streuwiesen.</w:t>
            </w:r>
          </w:p>
        </w:tc>
      </w:tr>
      <w:tr w:rsidR="009B5CE0" w:rsidRPr="009B5CE0" w:rsidTr="00B36714">
        <w:tc>
          <w:tcPr>
            <w:tcW w:w="567" w:type="dxa"/>
            <w:tcBorders>
              <w:top w:val="single" w:sz="24" w:space="0" w:color="FFFFFF"/>
              <w:bottom w:val="single" w:sz="24" w:space="0" w:color="FFFFFF"/>
            </w:tcBorders>
            <w:shd w:val="clear" w:color="auto" w:fill="C0C0C0"/>
            <w:vAlign w:val="center"/>
          </w:tcPr>
          <w:p w:rsidR="009B5CE0" w:rsidRPr="009B5CE0" w:rsidRDefault="009B5CE0" w:rsidP="009B5CE0">
            <w:pPr>
              <w:keepNext/>
              <w:spacing w:before="20" w:after="20" w:line="264" w:lineRule="auto"/>
              <w:jc w:val="center"/>
              <w:rPr>
                <w:rFonts w:ascii="Arial" w:hAnsi="Arial"/>
                <w:b/>
                <w:bCs/>
                <w:snapToGrid w:val="0"/>
                <w:color w:val="000000"/>
              </w:rPr>
            </w:pPr>
            <w:r w:rsidRPr="009B5CE0">
              <w:rPr>
                <w:rFonts w:ascii="Arial" w:hAnsi="Arial"/>
                <w:b/>
                <w:bCs/>
                <w:snapToGrid w:val="0"/>
                <w:color w:val="000000"/>
              </w:rPr>
              <w:t>4</w:t>
            </w:r>
          </w:p>
        </w:tc>
        <w:tc>
          <w:tcPr>
            <w:tcW w:w="2623" w:type="dxa"/>
            <w:shd w:val="clear" w:color="auto" w:fill="E0E0E0"/>
            <w:vAlign w:val="center"/>
          </w:tcPr>
          <w:p w:rsidR="009B5CE0" w:rsidRPr="009B5CE0" w:rsidRDefault="009B5CE0" w:rsidP="009B5CE0">
            <w:pPr>
              <w:keepNext/>
              <w:spacing w:before="20" w:after="20" w:line="264" w:lineRule="auto"/>
              <w:rPr>
                <w:rFonts w:ascii="Arial" w:hAnsi="Arial"/>
                <w:snapToGrid w:val="0"/>
                <w:color w:val="000000"/>
              </w:rPr>
            </w:pPr>
            <w:r w:rsidRPr="009B5CE0">
              <w:rPr>
                <w:rFonts w:ascii="Arial" w:hAnsi="Arial"/>
                <w:snapToGrid w:val="0"/>
                <w:color w:val="000000"/>
              </w:rPr>
              <w:t>von hohem Wert</w:t>
            </w:r>
          </w:p>
        </w:tc>
        <w:tc>
          <w:tcPr>
            <w:tcW w:w="6117" w:type="dxa"/>
            <w:shd w:val="clear" w:color="auto" w:fill="E0E0E0"/>
          </w:tcPr>
          <w:p w:rsidR="009B5CE0" w:rsidRPr="009B5CE0" w:rsidRDefault="009B5CE0" w:rsidP="009B5CE0">
            <w:pPr>
              <w:keepNext/>
              <w:spacing w:before="20" w:after="20" w:line="264" w:lineRule="auto"/>
              <w:rPr>
                <w:rFonts w:ascii="Arial" w:hAnsi="Arial"/>
                <w:snapToGrid w:val="0"/>
                <w:color w:val="000000"/>
              </w:rPr>
            </w:pPr>
            <w:proofErr w:type="gramStart"/>
            <w:r w:rsidRPr="009B5CE0">
              <w:rPr>
                <w:rFonts w:ascii="Arial" w:hAnsi="Arial"/>
                <w:snapToGrid w:val="0"/>
                <w:color w:val="000000"/>
              </w:rPr>
              <w:t>Seltene und repräsentative naturnahe, extensiv oder ungenutzte, jedoch weniger gut ausgeprägte oder jüngere</w:t>
            </w:r>
            <w:proofErr w:type="gramEnd"/>
            <w:r w:rsidRPr="009B5CE0">
              <w:rPr>
                <w:rFonts w:ascii="Arial" w:hAnsi="Arial"/>
                <w:snapToGrid w:val="0"/>
                <w:color w:val="000000"/>
              </w:rPr>
              <w:t xml:space="preserve"> Ökosysteme mit i. d. R. weniger extrem ausgebildeten Standorteigenschaften. Hierunter fallen beispielsweise Degenerationsstadien oder jüngere Ausprägungen der unter Wertstufe 5 aufgeführten Ökosysteme. </w:t>
            </w:r>
          </w:p>
        </w:tc>
      </w:tr>
      <w:tr w:rsidR="009B5CE0" w:rsidRPr="009B5CE0" w:rsidTr="00B36714">
        <w:tc>
          <w:tcPr>
            <w:tcW w:w="567" w:type="dxa"/>
            <w:tcBorders>
              <w:top w:val="single" w:sz="24" w:space="0" w:color="FFFFFF"/>
              <w:bottom w:val="single" w:sz="24" w:space="0" w:color="FFFFFF"/>
            </w:tcBorders>
            <w:shd w:val="clear" w:color="auto" w:fill="C0C0C0"/>
            <w:vAlign w:val="center"/>
          </w:tcPr>
          <w:p w:rsidR="009B5CE0" w:rsidRPr="009B5CE0" w:rsidRDefault="009B5CE0" w:rsidP="009B5CE0">
            <w:pPr>
              <w:keepNext/>
              <w:spacing w:before="20" w:after="20" w:line="264" w:lineRule="auto"/>
              <w:jc w:val="center"/>
              <w:rPr>
                <w:rFonts w:ascii="Arial" w:hAnsi="Arial"/>
                <w:b/>
                <w:bCs/>
                <w:snapToGrid w:val="0"/>
                <w:color w:val="000000"/>
              </w:rPr>
            </w:pPr>
            <w:r w:rsidRPr="009B5CE0">
              <w:rPr>
                <w:rFonts w:ascii="Arial" w:hAnsi="Arial"/>
                <w:b/>
                <w:bCs/>
                <w:snapToGrid w:val="0"/>
                <w:color w:val="000000"/>
              </w:rPr>
              <w:t>3</w:t>
            </w:r>
          </w:p>
        </w:tc>
        <w:tc>
          <w:tcPr>
            <w:tcW w:w="2623" w:type="dxa"/>
            <w:shd w:val="clear" w:color="auto" w:fill="E0E0E0"/>
            <w:vAlign w:val="center"/>
          </w:tcPr>
          <w:p w:rsidR="009B5CE0" w:rsidRPr="009B5CE0" w:rsidRDefault="009B5CE0" w:rsidP="009B5CE0">
            <w:pPr>
              <w:keepNext/>
              <w:spacing w:before="20" w:after="20" w:line="264" w:lineRule="auto"/>
              <w:rPr>
                <w:rFonts w:ascii="Arial" w:hAnsi="Arial"/>
                <w:snapToGrid w:val="0"/>
                <w:color w:val="000000"/>
              </w:rPr>
            </w:pPr>
            <w:r w:rsidRPr="009B5CE0">
              <w:rPr>
                <w:rFonts w:ascii="Arial" w:hAnsi="Arial"/>
                <w:snapToGrid w:val="0"/>
                <w:color w:val="000000"/>
              </w:rPr>
              <w:t>von mittlerem Wert</w:t>
            </w:r>
          </w:p>
        </w:tc>
        <w:tc>
          <w:tcPr>
            <w:tcW w:w="6117" w:type="dxa"/>
            <w:shd w:val="clear" w:color="auto" w:fill="E0E0E0"/>
          </w:tcPr>
          <w:p w:rsidR="009B5CE0" w:rsidRPr="009B5CE0" w:rsidRDefault="009B5CE0" w:rsidP="009B5CE0">
            <w:pPr>
              <w:keepNext/>
              <w:spacing w:before="20" w:after="20" w:line="264" w:lineRule="auto"/>
              <w:rPr>
                <w:rFonts w:ascii="Arial" w:hAnsi="Arial"/>
                <w:snapToGrid w:val="0"/>
                <w:color w:val="000000"/>
              </w:rPr>
            </w:pPr>
            <w:r w:rsidRPr="009B5CE0">
              <w:rPr>
                <w:rFonts w:ascii="Arial" w:hAnsi="Arial"/>
                <w:snapToGrid w:val="0"/>
                <w:color w:val="000000"/>
              </w:rPr>
              <w:t xml:space="preserve">Extensiv genutzte oder sich seit kurzer Zeit natürlich entwickelnde Ökosysteme wie Laubforsten oder </w:t>
            </w:r>
            <w:proofErr w:type="spellStart"/>
            <w:r w:rsidRPr="009B5CE0">
              <w:rPr>
                <w:rFonts w:ascii="Arial" w:hAnsi="Arial"/>
                <w:snapToGrid w:val="0"/>
                <w:color w:val="000000"/>
              </w:rPr>
              <w:t>Ruderalgebüsche</w:t>
            </w:r>
            <w:proofErr w:type="spellEnd"/>
            <w:r w:rsidRPr="009B5CE0">
              <w:rPr>
                <w:rFonts w:ascii="Arial" w:hAnsi="Arial"/>
                <w:snapToGrid w:val="0"/>
                <w:color w:val="000000"/>
              </w:rPr>
              <w:t xml:space="preserve"> oder intensiv genutzte Ökosysteme, die jedoch seltene/extreme Standorteigenschaften aufweisen.</w:t>
            </w:r>
          </w:p>
        </w:tc>
      </w:tr>
      <w:tr w:rsidR="009B5CE0" w:rsidRPr="009B5CE0" w:rsidTr="00B36714">
        <w:tc>
          <w:tcPr>
            <w:tcW w:w="567" w:type="dxa"/>
            <w:tcBorders>
              <w:top w:val="single" w:sz="24" w:space="0" w:color="FFFFFF"/>
              <w:bottom w:val="single" w:sz="24" w:space="0" w:color="FFFFFF"/>
            </w:tcBorders>
            <w:shd w:val="clear" w:color="auto" w:fill="C0C0C0"/>
            <w:vAlign w:val="center"/>
          </w:tcPr>
          <w:p w:rsidR="009B5CE0" w:rsidRPr="009B5CE0" w:rsidRDefault="009B5CE0" w:rsidP="009B5CE0">
            <w:pPr>
              <w:keepNext/>
              <w:spacing w:before="20" w:after="20" w:line="264" w:lineRule="auto"/>
              <w:jc w:val="center"/>
              <w:rPr>
                <w:rFonts w:ascii="Arial" w:hAnsi="Arial"/>
                <w:b/>
                <w:bCs/>
                <w:snapToGrid w:val="0"/>
                <w:color w:val="000000"/>
              </w:rPr>
            </w:pPr>
            <w:r w:rsidRPr="009B5CE0">
              <w:rPr>
                <w:rFonts w:ascii="Arial" w:hAnsi="Arial"/>
                <w:b/>
                <w:bCs/>
                <w:snapToGrid w:val="0"/>
                <w:color w:val="000000"/>
              </w:rPr>
              <w:t>2</w:t>
            </w:r>
          </w:p>
        </w:tc>
        <w:tc>
          <w:tcPr>
            <w:tcW w:w="2623" w:type="dxa"/>
            <w:shd w:val="clear" w:color="auto" w:fill="E0E0E0"/>
            <w:vAlign w:val="center"/>
          </w:tcPr>
          <w:p w:rsidR="009B5CE0" w:rsidRPr="009B5CE0" w:rsidRDefault="009B5CE0" w:rsidP="009B5CE0">
            <w:pPr>
              <w:keepNext/>
              <w:spacing w:before="20" w:after="20" w:line="264" w:lineRule="auto"/>
              <w:rPr>
                <w:rFonts w:ascii="Arial" w:hAnsi="Arial"/>
                <w:snapToGrid w:val="0"/>
                <w:color w:val="000000"/>
              </w:rPr>
            </w:pPr>
            <w:r w:rsidRPr="009B5CE0">
              <w:rPr>
                <w:rFonts w:ascii="Arial" w:hAnsi="Arial"/>
                <w:snapToGrid w:val="0"/>
                <w:color w:val="000000"/>
              </w:rPr>
              <w:t>von geringem Wert</w:t>
            </w:r>
          </w:p>
        </w:tc>
        <w:tc>
          <w:tcPr>
            <w:tcW w:w="6117" w:type="dxa"/>
            <w:shd w:val="clear" w:color="auto" w:fill="E0E0E0"/>
          </w:tcPr>
          <w:p w:rsidR="009B5CE0" w:rsidRPr="009B5CE0" w:rsidRDefault="009B5CE0" w:rsidP="009B5CE0">
            <w:pPr>
              <w:keepNext/>
              <w:spacing w:before="20" w:after="20" w:line="264" w:lineRule="auto"/>
              <w:rPr>
                <w:rFonts w:ascii="Arial" w:hAnsi="Arial"/>
                <w:snapToGrid w:val="0"/>
                <w:color w:val="000000"/>
              </w:rPr>
            </w:pPr>
            <w:r w:rsidRPr="009B5CE0">
              <w:rPr>
                <w:rFonts w:ascii="Arial" w:hAnsi="Arial"/>
                <w:snapToGrid w:val="0"/>
                <w:color w:val="000000"/>
              </w:rPr>
              <w:t xml:space="preserve">Durch menschliche Einflüsse deutlich </w:t>
            </w:r>
            <w:proofErr w:type="gramStart"/>
            <w:r w:rsidRPr="009B5CE0">
              <w:rPr>
                <w:rFonts w:ascii="Arial" w:hAnsi="Arial"/>
                <w:snapToGrid w:val="0"/>
                <w:color w:val="000000"/>
              </w:rPr>
              <w:t>überprägte</w:t>
            </w:r>
            <w:proofErr w:type="gramEnd"/>
            <w:r w:rsidRPr="009B5CE0">
              <w:rPr>
                <w:rFonts w:ascii="Arial" w:hAnsi="Arial"/>
                <w:snapToGrid w:val="0"/>
                <w:color w:val="000000"/>
              </w:rPr>
              <w:t xml:space="preserve"> Ökosysteme wie standortfremde Gehölzanpflanzungen. </w:t>
            </w:r>
          </w:p>
        </w:tc>
      </w:tr>
      <w:tr w:rsidR="009B5CE0" w:rsidRPr="009B5CE0" w:rsidTr="00B36714">
        <w:tc>
          <w:tcPr>
            <w:tcW w:w="567" w:type="dxa"/>
            <w:tcBorders>
              <w:top w:val="single" w:sz="24" w:space="0" w:color="FFFFFF"/>
              <w:bottom w:val="single" w:sz="24" w:space="0" w:color="FFFFFF"/>
            </w:tcBorders>
            <w:shd w:val="clear" w:color="auto" w:fill="C0C0C0"/>
            <w:vAlign w:val="center"/>
          </w:tcPr>
          <w:p w:rsidR="009B5CE0" w:rsidRPr="009B5CE0" w:rsidRDefault="009B5CE0" w:rsidP="009B5CE0">
            <w:pPr>
              <w:spacing w:before="20" w:after="20" w:line="264" w:lineRule="auto"/>
              <w:jc w:val="center"/>
              <w:rPr>
                <w:rFonts w:ascii="Arial" w:hAnsi="Arial"/>
                <w:b/>
                <w:bCs/>
                <w:snapToGrid w:val="0"/>
                <w:color w:val="000000"/>
              </w:rPr>
            </w:pPr>
            <w:r w:rsidRPr="009B5CE0">
              <w:rPr>
                <w:rFonts w:ascii="Arial" w:hAnsi="Arial"/>
                <w:b/>
                <w:bCs/>
                <w:snapToGrid w:val="0"/>
                <w:color w:val="000000"/>
              </w:rPr>
              <w:t>1</w:t>
            </w:r>
          </w:p>
        </w:tc>
        <w:tc>
          <w:tcPr>
            <w:tcW w:w="2623" w:type="dxa"/>
            <w:shd w:val="clear" w:color="auto" w:fill="E0E0E0"/>
            <w:vAlign w:val="center"/>
          </w:tcPr>
          <w:p w:rsidR="009B5CE0" w:rsidRPr="009B5CE0" w:rsidRDefault="009B5CE0" w:rsidP="009B5CE0">
            <w:pPr>
              <w:spacing w:before="20" w:after="20" w:line="264" w:lineRule="auto"/>
              <w:rPr>
                <w:rFonts w:ascii="Arial" w:hAnsi="Arial"/>
                <w:snapToGrid w:val="0"/>
                <w:color w:val="000000"/>
              </w:rPr>
            </w:pPr>
            <w:r w:rsidRPr="009B5CE0">
              <w:rPr>
                <w:rFonts w:ascii="Arial" w:hAnsi="Arial"/>
                <w:snapToGrid w:val="0"/>
                <w:color w:val="000000"/>
              </w:rPr>
              <w:t>von sehr geringem Wert</w:t>
            </w:r>
          </w:p>
        </w:tc>
        <w:tc>
          <w:tcPr>
            <w:tcW w:w="6117" w:type="dxa"/>
            <w:shd w:val="clear" w:color="auto" w:fill="E0E0E0"/>
          </w:tcPr>
          <w:p w:rsidR="009B5CE0" w:rsidRPr="009B5CE0" w:rsidRDefault="009B5CE0" w:rsidP="009B5CE0">
            <w:pPr>
              <w:spacing w:before="20" w:after="20" w:line="264" w:lineRule="auto"/>
              <w:rPr>
                <w:rFonts w:ascii="Arial" w:hAnsi="Arial"/>
                <w:snapToGrid w:val="0"/>
                <w:color w:val="000000"/>
              </w:rPr>
            </w:pPr>
            <w:r w:rsidRPr="009B5CE0">
              <w:rPr>
                <w:rFonts w:ascii="Arial" w:hAnsi="Arial"/>
                <w:snapToGrid w:val="0"/>
                <w:color w:val="000000"/>
              </w:rPr>
              <w:t>Intensiv genutzte Flächen, auf denen im wesentlichen Ubiquisten vorkommen (z. B. Äcker oder neuzeitliche Ziergärten)</w:t>
            </w:r>
          </w:p>
        </w:tc>
      </w:tr>
      <w:tr w:rsidR="009B5CE0" w:rsidRPr="009B5CE0" w:rsidTr="00B36714">
        <w:tc>
          <w:tcPr>
            <w:tcW w:w="567" w:type="dxa"/>
            <w:tcBorders>
              <w:top w:val="single" w:sz="24" w:space="0" w:color="FFFFFF"/>
              <w:bottom w:val="nil"/>
            </w:tcBorders>
            <w:shd w:val="clear" w:color="auto" w:fill="C0C0C0"/>
            <w:vAlign w:val="center"/>
          </w:tcPr>
          <w:p w:rsidR="009B5CE0" w:rsidRPr="009B5CE0" w:rsidRDefault="009B5CE0" w:rsidP="009B5CE0">
            <w:pPr>
              <w:spacing w:before="20" w:after="20" w:line="264" w:lineRule="auto"/>
              <w:jc w:val="center"/>
              <w:rPr>
                <w:rFonts w:ascii="Arial" w:hAnsi="Arial"/>
                <w:b/>
                <w:bCs/>
                <w:snapToGrid w:val="0"/>
                <w:color w:val="000000"/>
              </w:rPr>
            </w:pPr>
            <w:r w:rsidRPr="009B5CE0">
              <w:rPr>
                <w:rFonts w:ascii="Arial" w:hAnsi="Arial"/>
                <w:b/>
                <w:bCs/>
                <w:snapToGrid w:val="0"/>
                <w:color w:val="000000"/>
              </w:rPr>
              <w:t>0</w:t>
            </w:r>
          </w:p>
        </w:tc>
        <w:tc>
          <w:tcPr>
            <w:tcW w:w="2623" w:type="dxa"/>
            <w:shd w:val="clear" w:color="auto" w:fill="E0E0E0"/>
            <w:vAlign w:val="center"/>
          </w:tcPr>
          <w:p w:rsidR="009B5CE0" w:rsidRPr="009B5CE0" w:rsidRDefault="009B5CE0" w:rsidP="009B5CE0">
            <w:pPr>
              <w:spacing w:before="20" w:after="20" w:line="264" w:lineRule="auto"/>
              <w:rPr>
                <w:rFonts w:ascii="Arial" w:hAnsi="Arial"/>
                <w:snapToGrid w:val="0"/>
                <w:color w:val="000000"/>
              </w:rPr>
            </w:pPr>
            <w:r w:rsidRPr="009B5CE0">
              <w:rPr>
                <w:rFonts w:ascii="Arial" w:hAnsi="Arial"/>
                <w:snapToGrid w:val="0"/>
                <w:color w:val="000000"/>
              </w:rPr>
              <w:t xml:space="preserve">ohne Wert </w:t>
            </w:r>
          </w:p>
        </w:tc>
        <w:tc>
          <w:tcPr>
            <w:tcW w:w="6117" w:type="dxa"/>
            <w:shd w:val="clear" w:color="auto" w:fill="E0E0E0"/>
          </w:tcPr>
          <w:p w:rsidR="009B5CE0" w:rsidRPr="009B5CE0" w:rsidRDefault="009B5CE0" w:rsidP="009B5CE0">
            <w:pPr>
              <w:spacing w:before="20" w:after="20" w:line="264" w:lineRule="auto"/>
              <w:rPr>
                <w:rFonts w:ascii="Arial" w:hAnsi="Arial"/>
                <w:snapToGrid w:val="0"/>
                <w:color w:val="000000"/>
              </w:rPr>
            </w:pPr>
            <w:r w:rsidRPr="009B5CE0">
              <w:rPr>
                <w:rFonts w:ascii="Arial" w:hAnsi="Arial"/>
                <w:snapToGrid w:val="0"/>
                <w:color w:val="000000"/>
              </w:rPr>
              <w:t>Versiegelte Flächen</w:t>
            </w:r>
          </w:p>
        </w:tc>
      </w:tr>
    </w:tbl>
    <w:p w:rsidR="009B5CE0" w:rsidRPr="009B5CE0" w:rsidRDefault="009B5CE0" w:rsidP="009B5CE0">
      <w:pPr>
        <w:rPr>
          <w:rFonts w:ascii="Arial" w:hAnsi="Arial"/>
          <w:sz w:val="22"/>
        </w:rPr>
      </w:pPr>
    </w:p>
    <w:p w:rsidR="009B5CE0" w:rsidRPr="009B5CE0" w:rsidRDefault="009B5CE0" w:rsidP="009B5CE0">
      <w:pPr>
        <w:rPr>
          <w:rFonts w:ascii="Arial" w:hAnsi="Arial"/>
          <w:sz w:val="22"/>
        </w:rPr>
      </w:pPr>
    </w:p>
    <w:p w:rsidR="009B5CE0" w:rsidRPr="009B5CE0" w:rsidRDefault="009B5CE0" w:rsidP="009B5CE0">
      <w:pPr>
        <w:rPr>
          <w:rFonts w:ascii="Arial" w:hAnsi="Arial"/>
          <w:sz w:val="22"/>
        </w:rPr>
      </w:pPr>
      <w:r w:rsidRPr="009B5CE0">
        <w:rPr>
          <w:rFonts w:ascii="Arial" w:hAnsi="Arial"/>
          <w:sz w:val="22"/>
        </w:rPr>
        <w:t>Bei der Erfassung der Biotope sind auch die im Kartierschlüssel angegebenen Zusatzmerkmale wie Ausprägung, Altersstrukturtypen, Nutzungsstrukturtypen, Gewässergüte etc. aufzunehmen, da diese wesentliche Kriterien der Bewertung sind. Ergeben sich bei der Biotopkartierung Anhaltspunkte für das Vorkommen von Pflanzenarten der jeweils aktuellen Roten Liste gefährdeter Farn- und Blütenpflanzen in Niedersachsen und Bremen, sind diese gesondert zu erfassen und zu vermerken.</w:t>
      </w:r>
    </w:p>
    <w:p w:rsidR="009B5CE0" w:rsidRPr="009B5CE0" w:rsidRDefault="009B5CE0" w:rsidP="009B5CE0">
      <w:pPr>
        <w:rPr>
          <w:rFonts w:ascii="Arial" w:hAnsi="Arial"/>
          <w:sz w:val="22"/>
        </w:rPr>
      </w:pPr>
    </w:p>
    <w:p w:rsidR="009B5CE0" w:rsidRPr="009B5CE0" w:rsidRDefault="009B5CE0" w:rsidP="009B5CE0">
      <w:pPr>
        <w:rPr>
          <w:rFonts w:ascii="Arial" w:hAnsi="Arial"/>
          <w:sz w:val="22"/>
        </w:rPr>
      </w:pPr>
      <w:r w:rsidRPr="009B5CE0">
        <w:rPr>
          <w:rFonts w:ascii="Arial" w:hAnsi="Arial"/>
          <w:sz w:val="22"/>
        </w:rPr>
        <w:t>Die Bewertung basiert auf der Annahme einer durchschnittlichen Ausprägung des aufgeführten Biotoptyps. Je nach konkreter Ausprägung kann eine vom Durchschnittswert abweichende Bewertung vorgenommen werden, diese Maximal- oder Minimalwerte sind in Klammern gesetzt. Die Bewertung des Biotops erfolgt in ganzen Wertstufen.</w:t>
      </w:r>
    </w:p>
    <w:p w:rsidR="009B5CE0" w:rsidRPr="009B5CE0" w:rsidRDefault="009B5CE0" w:rsidP="009B5CE0">
      <w:pPr>
        <w:rPr>
          <w:rFonts w:ascii="Arial" w:hAnsi="Arial"/>
          <w:sz w:val="22"/>
        </w:rPr>
      </w:pPr>
    </w:p>
    <w:p w:rsidR="009B5CE0" w:rsidRPr="009B5CE0" w:rsidRDefault="009B5CE0" w:rsidP="009B5CE0">
      <w:pPr>
        <w:rPr>
          <w:rFonts w:ascii="Arial" w:hAnsi="Arial"/>
          <w:sz w:val="22"/>
        </w:rPr>
      </w:pPr>
      <w:r w:rsidRPr="009B5CE0">
        <w:rPr>
          <w:rFonts w:ascii="Arial" w:hAnsi="Arial"/>
          <w:sz w:val="22"/>
          <w:u w:val="single"/>
        </w:rPr>
        <w:t>Spalte 6</w:t>
      </w:r>
      <w:r w:rsidRPr="009B5CE0">
        <w:rPr>
          <w:rFonts w:ascii="Arial" w:hAnsi="Arial"/>
          <w:sz w:val="22"/>
        </w:rPr>
        <w:t xml:space="preserve"> enthält ggf. Bemerkungen z. B. zur Einstufung von Biotoptypen.</w:t>
      </w:r>
    </w:p>
    <w:p w:rsidR="009B5CE0" w:rsidRPr="009B5CE0" w:rsidRDefault="009B5CE0" w:rsidP="009B5CE0">
      <w:pPr>
        <w:rPr>
          <w:rFonts w:ascii="Arial" w:hAnsi="Arial"/>
          <w:sz w:val="22"/>
        </w:rPr>
      </w:pPr>
    </w:p>
    <w:p w:rsidR="008A3A0A" w:rsidRDefault="008A3A0A">
      <w:pPr>
        <w:pStyle w:val="Kopfzeile"/>
        <w:tabs>
          <w:tab w:val="clear" w:pos="4536"/>
          <w:tab w:val="clear" w:pos="9072"/>
        </w:tabs>
        <w:rPr>
          <w:rFonts w:ascii="Arial" w:hAnsi="Arial"/>
          <w:sz w:val="22"/>
        </w:rPr>
      </w:pPr>
    </w:p>
    <w:p w:rsidR="0057661A" w:rsidRDefault="0057661A">
      <w:pPr>
        <w:pStyle w:val="Kopfzeile"/>
        <w:tabs>
          <w:tab w:val="clear" w:pos="4536"/>
          <w:tab w:val="clear" w:pos="9072"/>
        </w:tabs>
        <w:rPr>
          <w:rFonts w:ascii="Arial" w:hAnsi="Arial"/>
          <w:sz w:val="22"/>
        </w:rPr>
      </w:pPr>
    </w:p>
    <w:p w:rsidR="0057661A" w:rsidRDefault="0057661A">
      <w:pPr>
        <w:pStyle w:val="Kopfzeile"/>
        <w:tabs>
          <w:tab w:val="clear" w:pos="4536"/>
          <w:tab w:val="clear" w:pos="9072"/>
        </w:tabs>
        <w:rPr>
          <w:rFonts w:ascii="Arial" w:hAnsi="Arial"/>
          <w:sz w:val="22"/>
        </w:rPr>
      </w:pPr>
    </w:p>
    <w:sectPr w:rsidR="0057661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18D" w:rsidRDefault="00E2218D">
      <w:r>
        <w:separator/>
      </w:r>
    </w:p>
  </w:endnote>
  <w:endnote w:type="continuationSeparator" w:id="0">
    <w:p w:rsidR="00E2218D" w:rsidRDefault="00E2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02" w:rsidRDefault="00C2170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61A" w:rsidRDefault="0057661A">
    <w:pPr>
      <w:pStyle w:val="Fuzeile"/>
      <w:jc w:val="center"/>
      <w:rPr>
        <w:rFonts w:ascii="Arial" w:hAnsi="Arial"/>
      </w:rPr>
    </w:pPr>
    <w:r>
      <w:rPr>
        <w:rStyle w:val="Seitenzahl"/>
        <w:rFonts w:ascii="Arial" w:hAnsi="Arial"/>
      </w:rPr>
      <w:fldChar w:fldCharType="begin"/>
    </w:r>
    <w:r>
      <w:rPr>
        <w:rStyle w:val="Seitenzahl"/>
        <w:rFonts w:ascii="Arial" w:hAnsi="Arial"/>
      </w:rPr>
      <w:instrText xml:space="preserve"> PAGE </w:instrText>
    </w:r>
    <w:r>
      <w:rPr>
        <w:rStyle w:val="Seitenzahl"/>
        <w:rFonts w:ascii="Arial" w:hAnsi="Arial"/>
      </w:rPr>
      <w:fldChar w:fldCharType="separate"/>
    </w:r>
    <w:r w:rsidR="00896CCA">
      <w:rPr>
        <w:rStyle w:val="Seitenzahl"/>
        <w:rFonts w:ascii="Arial" w:hAnsi="Arial"/>
        <w:noProof/>
      </w:rPr>
      <w:t>1</w:t>
    </w:r>
    <w:r>
      <w:rPr>
        <w:rStyle w:val="Seitenzahl"/>
        <w:rFonts w:ascii="Arial" w:hAnsi="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02" w:rsidRDefault="00C2170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18D" w:rsidRDefault="00E2218D">
      <w:r>
        <w:separator/>
      </w:r>
    </w:p>
  </w:footnote>
  <w:footnote w:type="continuationSeparator" w:id="0">
    <w:p w:rsidR="00E2218D" w:rsidRDefault="00E22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02" w:rsidRDefault="00C2170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02" w:rsidRDefault="00C2170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02" w:rsidRDefault="00C2170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9320C"/>
    <w:multiLevelType w:val="hybridMultilevel"/>
    <w:tmpl w:val="6D0E39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7FB4ED0"/>
    <w:multiLevelType w:val="hybridMultilevel"/>
    <w:tmpl w:val="7C985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89F301D"/>
    <w:multiLevelType w:val="hybridMultilevel"/>
    <w:tmpl w:val="EC2C1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AC93DBC"/>
    <w:multiLevelType w:val="multilevel"/>
    <w:tmpl w:val="3C2244E6"/>
    <w:lvl w:ilvl="0">
      <w:start w:val="31"/>
      <w:numFmt w:val="decimal"/>
      <w:lvlText w:val="%1"/>
      <w:lvlJc w:val="left"/>
      <w:pPr>
        <w:tabs>
          <w:tab w:val="num" w:pos="555"/>
        </w:tabs>
        <w:ind w:left="555" w:hanging="555"/>
      </w:pPr>
      <w:rPr>
        <w:rFonts w:hint="default"/>
      </w:rPr>
    </w:lvl>
    <w:lvl w:ilvl="1">
      <w:start w:val="20"/>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F36059B"/>
    <w:multiLevelType w:val="hybridMultilevel"/>
    <w:tmpl w:val="96606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64268D0"/>
    <w:multiLevelType w:val="multilevel"/>
    <w:tmpl w:val="A2B6A70A"/>
    <w:lvl w:ilvl="0">
      <w:start w:val="31"/>
      <w:numFmt w:val="decimal"/>
      <w:lvlText w:val="%1"/>
      <w:lvlJc w:val="left"/>
      <w:pPr>
        <w:tabs>
          <w:tab w:val="num" w:pos="885"/>
        </w:tabs>
        <w:ind w:left="885" w:hanging="885"/>
      </w:pPr>
      <w:rPr>
        <w:rFonts w:hint="default"/>
      </w:rPr>
    </w:lvl>
    <w:lvl w:ilvl="1">
      <w:start w:val="20"/>
      <w:numFmt w:val="decimal"/>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E0"/>
    <w:rsid w:val="003B1660"/>
    <w:rsid w:val="004E4797"/>
    <w:rsid w:val="00544E45"/>
    <w:rsid w:val="0057661A"/>
    <w:rsid w:val="007A5F7E"/>
    <w:rsid w:val="007B4F31"/>
    <w:rsid w:val="008209AB"/>
    <w:rsid w:val="00896CCA"/>
    <w:rsid w:val="008A3A0A"/>
    <w:rsid w:val="008D7AE3"/>
    <w:rsid w:val="009B5CE0"/>
    <w:rsid w:val="00C21702"/>
    <w:rsid w:val="00C951E4"/>
    <w:rsid w:val="00E14863"/>
    <w:rsid w:val="00E2218D"/>
    <w:rsid w:val="00F11A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link w:val="SprechblasentextZchn"/>
    <w:rsid w:val="008A3A0A"/>
    <w:rPr>
      <w:rFonts w:ascii="Tahoma" w:hAnsi="Tahoma" w:cs="Tahoma"/>
      <w:sz w:val="16"/>
      <w:szCs w:val="16"/>
    </w:rPr>
  </w:style>
  <w:style w:type="character" w:customStyle="1" w:styleId="SprechblasentextZchn">
    <w:name w:val="Sprechblasentext Zchn"/>
    <w:link w:val="Sprechblasentext"/>
    <w:rsid w:val="008A3A0A"/>
    <w:rPr>
      <w:rFonts w:ascii="Tahoma" w:hAnsi="Tahoma" w:cs="Tahoma"/>
      <w:sz w:val="16"/>
      <w:szCs w:val="16"/>
      <w:lang w:eastAsia="de-DE"/>
    </w:rPr>
  </w:style>
  <w:style w:type="table" w:styleId="Tabellenraster">
    <w:name w:val="Table Grid"/>
    <w:basedOn w:val="NormaleTabelle"/>
    <w:rsid w:val="008A3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link w:val="SprechblasentextZchn"/>
    <w:rsid w:val="008A3A0A"/>
    <w:rPr>
      <w:rFonts w:ascii="Tahoma" w:hAnsi="Tahoma" w:cs="Tahoma"/>
      <w:sz w:val="16"/>
      <w:szCs w:val="16"/>
    </w:rPr>
  </w:style>
  <w:style w:type="character" w:customStyle="1" w:styleId="SprechblasentextZchn">
    <w:name w:val="Sprechblasentext Zchn"/>
    <w:link w:val="Sprechblasentext"/>
    <w:rsid w:val="008A3A0A"/>
    <w:rPr>
      <w:rFonts w:ascii="Tahoma" w:hAnsi="Tahoma" w:cs="Tahoma"/>
      <w:sz w:val="16"/>
      <w:szCs w:val="16"/>
      <w:lang w:eastAsia="de-DE"/>
    </w:rPr>
  </w:style>
  <w:style w:type="table" w:styleId="Tabellenraster">
    <w:name w:val="Table Grid"/>
    <w:basedOn w:val="NormaleTabelle"/>
    <w:rsid w:val="008A3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4630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Senator für Bau und Umwelt</vt:lpstr>
    </vt:vector>
  </TitlesOfParts>
  <Company>Freie Hansestadt Bremen</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Senator für Bau und Umwelt</dc:title>
  <dc:creator>Wernick, Martina (SUBV)</dc:creator>
  <cp:lastModifiedBy>Katharina Buenn</cp:lastModifiedBy>
  <cp:revision>2</cp:revision>
  <dcterms:created xsi:type="dcterms:W3CDTF">2014-11-17T15:35:00Z</dcterms:created>
  <dcterms:modified xsi:type="dcterms:W3CDTF">2014-11-17T15:35:00Z</dcterms:modified>
</cp:coreProperties>
</file>